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60" w:line="259" w:lineRule="auto"/>
      </w:pPr>
      <w:r>
        <w:rPr>
          <w:rFonts w:ascii="Aptos" w:hAnsi="Aptos"/>
          <w:b/>
          <w:i w:val="0"/>
          <w:color w:val="000000"/>
          <w:sz w:val="46"/>
        </w:rPr>
        <w:t>Change Exploration</w:t>
      </w:r>
    </w:p>
    <w:p>
      <w:pPr>
        <w:spacing w:before="0" w:after="180" w:line="259" w:lineRule="auto"/>
      </w:pPr>
      <w:r>
        <w:rPr>
          <w:rFonts w:ascii="Aptos" w:hAnsi="Aptos"/>
          <w:b w:val="0"/>
          <w:i w:val="0"/>
          <w:color w:val="526979"/>
          <w:sz w:val="21"/>
        </w:rPr>
        <w:t>Think through who or what could be affected before your team chooses a direction.</w:t>
      </w:r>
    </w:p>
    <w:p>
      <w:pPr>
        <w:spacing w:before="0" w:after="200" w:line="259" w:lineRule="auto"/>
      </w:pPr>
      <w:r>
        <w:rPr>
          <w:rFonts w:ascii="Aptos" w:hAnsi="Aptos"/>
          <w:b/>
          <w:i w:val="0"/>
          <w:color w:val="BA3437"/>
          <w:sz w:val="17"/>
        </w:rPr>
        <w:t>C-MSCL Civic Leadership Curriculum  |  Writable student resource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3311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Who or what could be affected</w:t>
            </w:r>
          </w:p>
        </w:tc>
        <w:tc>
          <w:tcPr>
            <w:tcW w:type="dxa" w:w="3408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3311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Possible benefits</w:t>
            </w:r>
          </w:p>
        </w:tc>
        <w:tc>
          <w:tcPr>
            <w:tcW w:type="dxa" w:w="3408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3311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Questions or concerns</w:t>
            </w:r>
          </w:p>
        </w:tc>
      </w:tr>
      <w:tr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</w:tbl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WHAT WE STILL NEED TO LEARN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835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26979"/>
        <w:sz w:val="16"/>
      </w:rPr>
      <w:t>Save a copy with your name or team name before sharing.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